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مقال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التنمر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المدارس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التنمر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المدارس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أحد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أكثر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الظواهر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انتشارا</w:t>
      </w:r>
      <w:r w:rsidDel="00000000" w:rsidR="00000000" w:rsidRPr="00000000">
        <w:rPr>
          <w:sz w:val="32"/>
          <w:szCs w:val="32"/>
          <w:rtl w:val="1"/>
        </w:rPr>
        <w:t xml:space="preserve">ً، </w:t>
      </w:r>
      <w:r w:rsidDel="00000000" w:rsidR="00000000" w:rsidRPr="00000000">
        <w:rPr>
          <w:sz w:val="32"/>
          <w:szCs w:val="32"/>
          <w:rtl w:val="1"/>
        </w:rPr>
        <w:t xml:space="preserve">وغالبا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التنمر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ضمن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مجموعات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موجهة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نحو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فرد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مجموعات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الطلاب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باعتبار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هؤلاء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الأفراد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المجموعة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الأقوى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وذات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النفوذ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وتمون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أشكال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الاعتداء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الممارس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لفظيا</w:t>
      </w:r>
      <w:r w:rsidDel="00000000" w:rsidR="00000000" w:rsidRPr="00000000">
        <w:rPr>
          <w:sz w:val="32"/>
          <w:szCs w:val="32"/>
          <w:rtl w:val="1"/>
        </w:rPr>
        <w:t xml:space="preserve">ً (</w:t>
      </w:r>
      <w:r w:rsidDel="00000000" w:rsidR="00000000" w:rsidRPr="00000000">
        <w:rPr>
          <w:sz w:val="32"/>
          <w:szCs w:val="32"/>
          <w:rtl w:val="1"/>
        </w:rPr>
        <w:t xml:space="preserve">تبادل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الكلام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المسيء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والشتيمة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والألفاظ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البذيئة</w:t>
      </w:r>
      <w:r w:rsidDel="00000000" w:rsidR="00000000" w:rsidRPr="00000000">
        <w:rPr>
          <w:sz w:val="32"/>
          <w:szCs w:val="32"/>
          <w:rtl w:val="1"/>
        </w:rPr>
        <w:t xml:space="preserve">)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جسديا</w:t>
      </w:r>
      <w:r w:rsidDel="00000000" w:rsidR="00000000" w:rsidRPr="00000000">
        <w:rPr>
          <w:sz w:val="32"/>
          <w:szCs w:val="32"/>
          <w:rtl w:val="1"/>
        </w:rPr>
        <w:t xml:space="preserve">ً (</w:t>
      </w:r>
      <w:r w:rsidDel="00000000" w:rsidR="00000000" w:rsidRPr="00000000">
        <w:rPr>
          <w:sz w:val="32"/>
          <w:szCs w:val="32"/>
          <w:rtl w:val="1"/>
        </w:rPr>
        <w:t xml:space="preserve">الضرب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وممارسة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العنف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الجسدي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وتحرش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فعلي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واعتداء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بدني</w:t>
      </w:r>
      <w:r w:rsidDel="00000000" w:rsidR="00000000" w:rsidRPr="00000000">
        <w:rPr>
          <w:sz w:val="32"/>
          <w:szCs w:val="32"/>
          <w:rtl w:val="1"/>
        </w:rPr>
        <w:t xml:space="preserve">)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حتى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بالإيماءات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والحركات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غيرها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أساليب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الإكراه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الأكثر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دهاء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نحو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التلاعب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الشخص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وبشكل</w:t>
      </w:r>
      <w:r w:rsidDel="00000000" w:rsidR="00000000" w:rsidRPr="00000000">
        <w:rPr>
          <w:sz w:val="32"/>
          <w:szCs w:val="32"/>
          <w:rtl w:val="1"/>
        </w:rPr>
        <w:t xml:space="preserve">ٍ </w:t>
      </w:r>
      <w:r w:rsidDel="00000000" w:rsidR="00000000" w:rsidRPr="00000000">
        <w:rPr>
          <w:sz w:val="32"/>
          <w:szCs w:val="32"/>
          <w:rtl w:val="1"/>
        </w:rPr>
        <w:t xml:space="preserve">عام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يتم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ظاهرة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التنمر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المدارس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خلال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تعليم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الطلاب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المهارات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الاجتماعية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للتفاعل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الناجح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الآخرين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حتى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يكونوا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الأشخاص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المنتجين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القادرين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مواجهة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الظاهرة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والحد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تعلمها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انتشارها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وشيوعها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الطل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اب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التنمر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المدارس</w:t>
      </w:r>
    </w:p>
    <w:p w:rsidR="00000000" w:rsidDel="00000000" w:rsidP="00000000" w:rsidRDefault="00000000" w:rsidRPr="00000000" w14:paraId="00000004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يتم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تعريف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التنمر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بطرق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مختلفة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فعلى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سبيل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المثال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الولايات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المتحدة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الأمريكية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ليس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لديها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تعريف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قانوني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لظاهرة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التنمر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لكن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سنت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القوانين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ضد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الظاهرة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وبشكل</w:t>
      </w:r>
      <w:r w:rsidDel="00000000" w:rsidR="00000000" w:rsidRPr="00000000">
        <w:rPr>
          <w:sz w:val="32"/>
          <w:szCs w:val="32"/>
          <w:rtl w:val="1"/>
        </w:rPr>
        <w:t xml:space="preserve">ٍ </w:t>
      </w:r>
      <w:r w:rsidDel="00000000" w:rsidR="00000000" w:rsidRPr="00000000">
        <w:rPr>
          <w:sz w:val="32"/>
          <w:szCs w:val="32"/>
          <w:rtl w:val="1"/>
        </w:rPr>
        <w:t xml:space="preserve">عام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يتم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إطلاق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مصطلح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التنمر</w:t>
      </w:r>
      <w:r w:rsidDel="00000000" w:rsidR="00000000" w:rsidRPr="00000000">
        <w:rPr>
          <w:sz w:val="32"/>
          <w:szCs w:val="32"/>
          <w:rtl w:val="1"/>
        </w:rPr>
        <w:t xml:space="preserve">ُ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المدارس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إجبار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الآخرين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طريق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الخوف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التهديد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وهو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نوع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أنواع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التنمر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الشائع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البيئات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التعليمية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سواء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الطلاب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المعلمين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وغالبا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عواقب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الظاهرة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وخيمة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فقد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تؤدي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والاكتئاب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والتوتر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لكلا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الأفراد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المتنمرين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والمتعرضين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للتنمر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تسبب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السلوك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العدواني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المشاركة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بالأعمال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الإجرامية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حتى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الانتحار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معايير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التنمر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المدارس</w:t>
      </w:r>
    </w:p>
    <w:p w:rsidR="00000000" w:rsidDel="00000000" w:rsidP="00000000" w:rsidRDefault="00000000" w:rsidRPr="00000000" w14:paraId="00000006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لكي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تعتبر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الظاهرة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تنمرا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يجب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يستوفي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عدد</w:t>
      </w:r>
      <w:r w:rsidDel="00000000" w:rsidR="00000000" w:rsidRPr="00000000">
        <w:rPr>
          <w:sz w:val="32"/>
          <w:szCs w:val="32"/>
          <w:rtl w:val="1"/>
        </w:rPr>
        <w:t xml:space="preserve">ً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المعايير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وتشمل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المعايير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العدائية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وتكرار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الظاهرة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والمضايقة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والاستفزاز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وهناك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خمسة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معايير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ثلاثة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أساسية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للتنمر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وهي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يلي</w:t>
      </w:r>
      <w:r w:rsidDel="00000000" w:rsidR="00000000" w:rsidRPr="00000000">
        <w:rPr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07">
      <w:pPr>
        <w:numPr>
          <w:ilvl w:val="0"/>
          <w:numId w:val="9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النية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العدائية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التنمر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متعمدا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هؤلاء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الأشخاص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وليس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عرضيا</w:t>
      </w:r>
      <w:r w:rsidDel="00000000" w:rsidR="00000000" w:rsidRPr="00000000">
        <w:rPr>
          <w:sz w:val="32"/>
          <w:szCs w:val="32"/>
          <w:rtl w:val="1"/>
        </w:rPr>
        <w:t xml:space="preserve">ً.</w:t>
      </w:r>
    </w:p>
    <w:p w:rsidR="00000000" w:rsidDel="00000000" w:rsidP="00000000" w:rsidRDefault="00000000" w:rsidRPr="00000000" w14:paraId="00000008">
      <w:pPr>
        <w:numPr>
          <w:ilvl w:val="0"/>
          <w:numId w:val="9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عدم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توازن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القوة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وهذا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يعني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اعتقاد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المتنمر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أقوى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الواقع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ضحية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التنمر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الواقع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بالفعل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9">
      <w:pPr>
        <w:numPr>
          <w:ilvl w:val="0"/>
          <w:numId w:val="9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التكرار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مدى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فترة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زمنية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أي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تكرار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المتنمر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الفعل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والآخر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بالنسبة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للمعايير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الأساسية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وقد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يضاف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المعايير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الثلاث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الأساسية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معيارين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إضافيين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وهما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يلي</w:t>
      </w:r>
      <w:r w:rsidDel="00000000" w:rsidR="00000000" w:rsidRPr="00000000">
        <w:rPr>
          <w:sz w:val="32"/>
          <w:szCs w:val="32"/>
          <w:rtl w:val="1"/>
        </w:rPr>
        <w:t xml:space="preserve">: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معاناة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الضحايا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يولد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التنمر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المتكرر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الضحية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صدمة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نفسية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ويصبح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متنمرا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مثل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أقرانه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الاستفزاز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وقد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يولد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استفزاز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الضحية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ولادة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شخص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متنمر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جراء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السلوكات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العدوانية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تعرض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لها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أسباب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التنمر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المدارس</w:t>
      </w:r>
    </w:p>
    <w:p w:rsidR="00000000" w:rsidDel="00000000" w:rsidP="00000000" w:rsidRDefault="00000000" w:rsidRPr="00000000" w14:paraId="0000000E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هناك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الكثير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الأسباب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الكامنة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وراء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تنمر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الأشخاص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وتشمل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الأسباب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المعايير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الجنسانية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والاجتماعية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والعوامل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السياقية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والهيكلية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الأوسع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نطاقا</w:t>
      </w:r>
      <w:r w:rsidDel="00000000" w:rsidR="00000000" w:rsidRPr="00000000">
        <w:rPr>
          <w:sz w:val="32"/>
          <w:szCs w:val="32"/>
          <w:rtl w:val="1"/>
        </w:rPr>
        <w:t xml:space="preserve">ً، </w:t>
      </w:r>
      <w:r w:rsidDel="00000000" w:rsidR="00000000" w:rsidRPr="00000000">
        <w:rPr>
          <w:sz w:val="32"/>
          <w:szCs w:val="32"/>
          <w:rtl w:val="1"/>
        </w:rPr>
        <w:t xml:space="preserve">ولعل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أبرز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الأسباب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يلي</w:t>
      </w:r>
      <w:r w:rsidDel="00000000" w:rsidR="00000000" w:rsidRPr="00000000">
        <w:rPr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bidi w:val="1"/>
        <w:spacing w:line="276" w:lineRule="auto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التمييز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بين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الجنس</w:t>
      </w:r>
      <w:r w:rsidDel="00000000" w:rsidR="00000000" w:rsidRPr="00000000">
        <w:rPr>
          <w:b w:val="1"/>
          <w:sz w:val="32"/>
          <w:szCs w:val="32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يولد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الطفل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ببيئة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تفضل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الذكر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الأنثى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الطفل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بطبعه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متفرعن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ومتمرد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الفتيات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حوله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الإهمال</w:t>
      </w:r>
      <w:r w:rsidDel="00000000" w:rsidR="00000000" w:rsidRPr="00000000">
        <w:rPr>
          <w:b w:val="1"/>
          <w:sz w:val="32"/>
          <w:szCs w:val="32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يولد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إهمال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الطفل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قبل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عائلته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طبع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التمر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لديه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فيتنمر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أقرانه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المدرسة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bidi w:val="1"/>
        <w:spacing w:line="276" w:lineRule="auto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التربية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الخاطئة</w:t>
      </w:r>
      <w:r w:rsidDel="00000000" w:rsidR="00000000" w:rsidRPr="00000000">
        <w:rPr>
          <w:b w:val="1"/>
          <w:sz w:val="32"/>
          <w:szCs w:val="32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ممارسة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أسلوب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خاطئ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التربية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نحو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معاقبة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الطفل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ذنب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يقترفه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بالضرب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بالشتيمة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bidi w:val="1"/>
        <w:spacing w:line="276" w:lineRule="auto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قلة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ثقة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بنفسه</w:t>
      </w:r>
      <w:r w:rsidDel="00000000" w:rsidR="00000000" w:rsidRPr="00000000">
        <w:rPr>
          <w:b w:val="1"/>
          <w:sz w:val="32"/>
          <w:szCs w:val="32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نتيجة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ضغط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الأقران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سوك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التربية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الخاطئ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الذي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يمارسه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هؤلاء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الأطفال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bidi w:val="1"/>
        <w:spacing w:line="276" w:lineRule="auto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ممارسة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العنف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الأسري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b w:val="1"/>
          <w:sz w:val="32"/>
          <w:szCs w:val="32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يولد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الطفل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عائلة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متنمرين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عائلة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شخص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يمارس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التنمر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الآخرين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وغالبا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يتقمص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الطفل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شخصية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أحد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والديه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ويمارسها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أصدقائه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bidi w:val="1"/>
        <w:spacing w:line="276" w:lineRule="auto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الغيرة</w:t>
      </w:r>
      <w:r w:rsidDel="00000000" w:rsidR="00000000" w:rsidRPr="00000000">
        <w:rPr>
          <w:b w:val="1"/>
          <w:sz w:val="32"/>
          <w:szCs w:val="32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غيرة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الطفل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أفضل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بني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جنسه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الجنس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الآخر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سواء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أفضل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بصفة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متفوق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عليه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التعليم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bidi w:val="1"/>
        <w:spacing w:line="276" w:lineRule="auto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الغرور</w:t>
      </w:r>
      <w:r w:rsidDel="00000000" w:rsidR="00000000" w:rsidRPr="00000000">
        <w:rPr>
          <w:b w:val="1"/>
          <w:sz w:val="32"/>
          <w:szCs w:val="32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إحساس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الطفل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أفضل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وأعلى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غيره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الأطفال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وممارسته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السلوك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العدواني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أفضل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منه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bidi w:val="1"/>
        <w:spacing w:line="276" w:lineRule="auto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الانخراط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بممارسة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الألعاب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الإلكترونية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العنيفة</w:t>
      </w:r>
      <w:r w:rsidDel="00000000" w:rsidR="00000000" w:rsidRPr="00000000">
        <w:rPr>
          <w:b w:val="1"/>
          <w:sz w:val="32"/>
          <w:szCs w:val="32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وغياب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مراقبة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ألعاب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أطفالهم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وسلوكهم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آثار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التنمر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المدرسة</w:t>
      </w:r>
    </w:p>
    <w:p w:rsidR="00000000" w:rsidDel="00000000" w:rsidP="00000000" w:rsidRDefault="00000000" w:rsidRPr="00000000" w14:paraId="00000018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آثار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التنمر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كثيرة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معظم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جوانب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الحياة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المادية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والمعنوية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والجسدية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والاجتماعية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وفيما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يلي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نورد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الآثار</w:t>
      </w:r>
      <w:r w:rsidDel="00000000" w:rsidR="00000000" w:rsidRPr="00000000">
        <w:rPr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19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آثار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التنمر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المادية</w:t>
      </w:r>
    </w:p>
    <w:p w:rsidR="00000000" w:rsidDel="00000000" w:rsidP="00000000" w:rsidRDefault="00000000" w:rsidRPr="00000000" w14:paraId="0000001A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يؤثر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ممارسة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سلوك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التنمر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الضحايا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يلي</w:t>
      </w:r>
      <w:r w:rsidDel="00000000" w:rsidR="00000000" w:rsidRPr="00000000">
        <w:rPr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إن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تعرض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الطفل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للتنمر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مرحلة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الطفولة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يؤثر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نشأة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الفرد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ووضعه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المادي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والاقتصادي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كافة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مراحله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العمرية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إن</w:t>
      </w:r>
      <w:r w:rsidDel="00000000" w:rsidR="00000000" w:rsidRPr="00000000">
        <w:rPr>
          <w:sz w:val="32"/>
          <w:szCs w:val="32"/>
          <w:rtl w:val="1"/>
        </w:rPr>
        <w:t xml:space="preserve">ّ </w:t>
      </w:r>
      <w:r w:rsidDel="00000000" w:rsidR="00000000" w:rsidRPr="00000000">
        <w:rPr>
          <w:sz w:val="32"/>
          <w:szCs w:val="32"/>
          <w:rtl w:val="1"/>
        </w:rPr>
        <w:t xml:space="preserve">النساء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اللواتي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تعرضن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للتنمر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منذ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الطفولة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أغلبهم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كانوا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عرضة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للبطالة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وليس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لديهم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الكثير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الممتلكات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والدخل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المادي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العالي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يعد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السبب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الرئيسي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لترك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الأطفال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المدرسة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تعرضهم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للتنمر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فيكون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مستقبلهم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عرضة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للفقر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والبطالة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والحصول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وظائف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بدخل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أقل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الفقر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بسبب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دفع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تكاليف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مضاعفة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للعلاج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السلوك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لفترة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طويلة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الأمد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آثار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التنمر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النفسية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والمعنوية</w:t>
      </w:r>
    </w:p>
    <w:p w:rsidR="00000000" w:rsidDel="00000000" w:rsidP="00000000" w:rsidRDefault="00000000" w:rsidRPr="00000000" w14:paraId="00000020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للتنمر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الكثير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الآثار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النفسية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والمعنوية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يمكن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تلخيصها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يلي</w:t>
      </w:r>
      <w:r w:rsidDel="00000000" w:rsidR="00000000" w:rsidRPr="00000000">
        <w:rPr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الأطفال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المتعرضين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للتنمر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يكونوا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أكثر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عرضة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للإصابة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بالأمراض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العقلية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والجسدية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والاجتماعية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والعاطفية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إصابة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المتعرضين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للتنمر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بالاكتئاب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والقلق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إضافة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الشعور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بالوحدة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والحزن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وتغيرات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أنماط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النوم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وتناول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الطعام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والانغماس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بالأنشطة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المحببة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له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وتستمر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التأثيرات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بكافة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المراحل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العمرية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تعرض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ضحايا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التنمر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لخطر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الانتحار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تكرار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التنمر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الفرد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آثار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التنمر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الاجتماعية</w:t>
      </w:r>
    </w:p>
    <w:p w:rsidR="00000000" w:rsidDel="00000000" w:rsidP="00000000" w:rsidRDefault="00000000" w:rsidRPr="00000000" w14:paraId="00000025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هناك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مجموعة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الآثار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الاجتماعية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تصيب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الأفراد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نتيجة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تعرضه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للتنمر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وفيما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يلي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نذكرها</w:t>
      </w:r>
      <w:r w:rsidDel="00000000" w:rsidR="00000000" w:rsidRPr="00000000">
        <w:rPr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الانطواء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والخجل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والشعور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بالوحدة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وعدم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الشعور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بالاستقرار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والأمان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وصعوبة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الانفتاح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وتقبل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العلاقات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الاجتماعية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عدم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القدرة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تكوين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العلاقات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الاجتماعية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المراحل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الأولى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العمر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وتعرضهم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لخطر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العزلة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مرحلة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الشباب</w:t>
      </w:r>
      <w:r w:rsidDel="00000000" w:rsidR="00000000" w:rsidRPr="00000000">
        <w:rPr>
          <w:sz w:val="32"/>
          <w:szCs w:val="32"/>
          <w:rtl w:val="1"/>
        </w:rPr>
        <w:t xml:space="preserve">. </w:t>
      </w:r>
    </w:p>
    <w:p w:rsidR="00000000" w:rsidDel="00000000" w:rsidP="00000000" w:rsidRDefault="00000000" w:rsidRPr="00000000" w14:paraId="00000028">
      <w:pPr>
        <w:numPr>
          <w:ilvl w:val="0"/>
          <w:numId w:val="8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ضعف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الثقة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بالنفس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والشعور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وعدم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تقدير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الذات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الانحراف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الاجتماعي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وإقبال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بعض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الأشخاص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المتنمرين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المتعرضين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للتنمر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إدمان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التبغ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والكحول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المخدرات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انخفاض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التحصيل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العلمي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والاندماج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الأنشطة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الصفي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يؤدي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التسر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المدرسي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الانقطاع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المدرسة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B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آثار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التنمر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المجتمع</w:t>
      </w:r>
    </w:p>
    <w:p w:rsidR="00000000" w:rsidDel="00000000" w:rsidP="00000000" w:rsidRDefault="00000000" w:rsidRPr="00000000" w14:paraId="0000002C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تتعدد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آثار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التنمر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أيضا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المجتمع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وفيما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يلي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نذكر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أبرزها</w:t>
      </w:r>
      <w:r w:rsidDel="00000000" w:rsidR="00000000" w:rsidRPr="00000000">
        <w:rPr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كثرة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الجرائم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وانتشار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ثقافة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الخوف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أفراد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المجتمع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انتشار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العدوان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والعنف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المجتمع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يتم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معالجة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الظاهرة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ُ</w:t>
      </w:r>
      <w:r w:rsidDel="00000000" w:rsidR="00000000" w:rsidRPr="00000000">
        <w:rPr>
          <w:sz w:val="32"/>
          <w:szCs w:val="32"/>
          <w:rtl w:val="1"/>
        </w:rPr>
        <w:t xml:space="preserve">بكر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العجز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والفشل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نتيجة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عدم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القدرة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حماية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الأطفال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التنمر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انتشار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ثقافة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عدم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الاحترام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الطل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البيئة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المدرسية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مما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يؤدي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تدني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المستوى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الدراسي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فينعكس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سلبا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المجتمع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بأكمله</w:t>
      </w:r>
      <w:r w:rsidDel="00000000" w:rsidR="00000000" w:rsidRPr="00000000">
        <w:rPr>
          <w:sz w:val="32"/>
          <w:szCs w:val="32"/>
          <w:rtl w:val="1"/>
        </w:rPr>
        <w:t xml:space="preserve">. </w:t>
      </w:r>
    </w:p>
    <w:p w:rsidR="00000000" w:rsidDel="00000000" w:rsidP="00000000" w:rsidRDefault="00000000" w:rsidRPr="00000000" w14:paraId="00000031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آثار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التنمر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المتنمرين</w:t>
      </w:r>
    </w:p>
    <w:p w:rsidR="00000000" w:rsidDel="00000000" w:rsidP="00000000" w:rsidRDefault="00000000" w:rsidRPr="00000000" w14:paraId="00000032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حتى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المتنمر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نفسه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تؤثر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عليه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الظاهرة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سلبا</w:t>
      </w:r>
      <w:r w:rsidDel="00000000" w:rsidR="00000000" w:rsidRPr="00000000">
        <w:rPr>
          <w:sz w:val="32"/>
          <w:szCs w:val="32"/>
          <w:rtl w:val="1"/>
        </w:rPr>
        <w:t xml:space="preserve">ً، </w:t>
      </w:r>
      <w:r w:rsidDel="00000000" w:rsidR="00000000" w:rsidRPr="00000000">
        <w:rPr>
          <w:sz w:val="32"/>
          <w:szCs w:val="32"/>
          <w:rtl w:val="1"/>
        </w:rPr>
        <w:t xml:space="preserve">وفيما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يلي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نرفق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آثار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التنمر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المتنمرين</w:t>
      </w:r>
      <w:r w:rsidDel="00000000" w:rsidR="00000000" w:rsidRPr="00000000">
        <w:rPr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الانخراط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بسلوك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الجريمة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نحو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تعاطي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الكحول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والمخدرات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والمشاركة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أعمال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السطو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والسرقة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وخاصة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مرحلة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المراهقة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المشاركة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أعمال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عنيفة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نحو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تدمير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أثاث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المدارس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ذلك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فضلا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حدوث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حالات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التسر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الدراسي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والتشر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bidi w:val="1"/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عدم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النجاح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العلاقات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الاجتماعية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وتكوين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صداقات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وحتى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فشل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الزواج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وتربية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الأطفال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36">
      <w:pPr>
        <w:bidi w:val="1"/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كيفية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الحد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ظاهرة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التنمر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المدارس</w:t>
      </w:r>
    </w:p>
    <w:p w:rsidR="00000000" w:rsidDel="00000000" w:rsidP="00000000" w:rsidRDefault="00000000" w:rsidRPr="00000000" w14:paraId="00000037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هناك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الكثير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الطرق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يمكن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خلالها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انتشار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ظاهرة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التنمر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المدارس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والمجتمع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بأكمله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وفيما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يلي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نذكرها</w:t>
      </w:r>
      <w:r w:rsidDel="00000000" w:rsidR="00000000" w:rsidRPr="00000000">
        <w:rPr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bidi w:val="1"/>
        <w:spacing w:line="276" w:lineRule="auto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تحدث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الوالدين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مع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الطفل</w:t>
      </w:r>
      <w:r w:rsidDel="00000000" w:rsidR="00000000" w:rsidRPr="00000000">
        <w:rPr>
          <w:b w:val="1"/>
          <w:sz w:val="32"/>
          <w:szCs w:val="32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ملاحظة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التقلبات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المزاجية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وأي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تصر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غير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اعتيادي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تحدث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للطفل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لأن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يستطيعون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التأثير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أطفالهم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أكثر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شخص</w:t>
      </w:r>
      <w:r w:rsidDel="00000000" w:rsidR="00000000" w:rsidRPr="00000000">
        <w:rPr>
          <w:sz w:val="32"/>
          <w:szCs w:val="32"/>
          <w:rtl w:val="1"/>
        </w:rPr>
        <w:t xml:space="preserve">ّ </w:t>
      </w:r>
      <w:r w:rsidDel="00000000" w:rsidR="00000000" w:rsidRPr="00000000">
        <w:rPr>
          <w:sz w:val="32"/>
          <w:szCs w:val="32"/>
          <w:rtl w:val="1"/>
        </w:rPr>
        <w:t xml:space="preserve">آخر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bidi w:val="1"/>
        <w:spacing w:line="276" w:lineRule="auto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تثقيف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الأطفال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التنمر</w:t>
      </w:r>
      <w:r w:rsidDel="00000000" w:rsidR="00000000" w:rsidRPr="00000000">
        <w:rPr>
          <w:b w:val="1"/>
          <w:sz w:val="32"/>
          <w:szCs w:val="32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واجب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توعية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وتثيف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أبنائهم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التنمر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وكيفية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ومواجهة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السلوك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أخبارهم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إخبار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المعلمين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بذلك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bidi w:val="1"/>
        <w:spacing w:line="276" w:lineRule="auto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بناء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مجتمع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داعم</w:t>
      </w:r>
      <w:r w:rsidDel="00000000" w:rsidR="00000000" w:rsidRPr="00000000">
        <w:rPr>
          <w:b w:val="1"/>
          <w:sz w:val="32"/>
          <w:szCs w:val="32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يجب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المجتمع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دعم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نفسية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الأطفال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المتعرضين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للتنمر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جهة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ومعاقبة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المتنمرين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يسنحوا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الفعل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ثانية</w:t>
      </w:r>
      <w:r w:rsidDel="00000000" w:rsidR="00000000" w:rsidRPr="00000000">
        <w:rPr>
          <w:sz w:val="32"/>
          <w:szCs w:val="32"/>
          <w:rtl w:val="1"/>
        </w:rPr>
        <w:t xml:space="preserve">ً </w:t>
      </w:r>
      <w:r w:rsidDel="00000000" w:rsidR="00000000" w:rsidRPr="00000000">
        <w:rPr>
          <w:sz w:val="32"/>
          <w:szCs w:val="32"/>
          <w:rtl w:val="1"/>
        </w:rPr>
        <w:t xml:space="preserve">دون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الإضرار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بشخصيتهم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وحالتهم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النفسية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bidi w:val="1"/>
        <w:spacing w:line="276" w:lineRule="auto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تعزيز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الثقة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واحترام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الذات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المعلمين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والأهل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تقديم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الدعم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النفسي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لكلا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الطرفين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المتنمر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والمتعرض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للتنمر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ودعم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ثقتهم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بنفسهم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ليتخلصوا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السلوك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bidi w:val="1"/>
        <w:spacing w:line="276" w:lineRule="auto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المشاركة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الأنشطة</w:t>
      </w:r>
      <w:r w:rsidDel="00000000" w:rsidR="00000000" w:rsidRPr="00000000">
        <w:rPr>
          <w:b w:val="1"/>
          <w:sz w:val="32"/>
          <w:szCs w:val="32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قيام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المعلمين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بأنشطة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نفسية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تبعد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كاهل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الأطفال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موضوع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التنمر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والغضب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وتخرجهم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دائرة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العنف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والإساءة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إضافة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مراقبة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الألعاب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تدعو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للعنف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وإبعادها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عنه</w:t>
      </w:r>
      <w:r w:rsidDel="00000000" w:rsidR="00000000" w:rsidRPr="00000000">
        <w:rPr>
          <w:sz w:val="32"/>
          <w:szCs w:val="32"/>
          <w:rtl w:val="1"/>
        </w:rPr>
        <w:t xml:space="preserve">.  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bidi w:val="1"/>
        <w:spacing w:line="276" w:lineRule="auto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المساعدة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المدارس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والمجتمع</w:t>
      </w:r>
      <w:r w:rsidDel="00000000" w:rsidR="00000000" w:rsidRPr="00000000">
        <w:rPr>
          <w:b w:val="1"/>
          <w:sz w:val="32"/>
          <w:szCs w:val="32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لكل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المعلمين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والآباء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والأصدقاء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دوره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التوعية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والتثقيف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وزيادة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الوعي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آثار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التنمر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لمحاربته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بشت</w:t>
      </w:r>
      <w:r w:rsidDel="00000000" w:rsidR="00000000" w:rsidRPr="00000000">
        <w:rPr>
          <w:sz w:val="32"/>
          <w:szCs w:val="32"/>
          <w:rtl w:val="1"/>
        </w:rPr>
        <w:t xml:space="preserve">ّ</w:t>
      </w:r>
      <w:r w:rsidDel="00000000" w:rsidR="00000000" w:rsidRPr="00000000">
        <w:rPr>
          <w:sz w:val="32"/>
          <w:szCs w:val="32"/>
          <w:rtl w:val="1"/>
        </w:rPr>
        <w:t xml:space="preserve">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الوسائل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3E">
      <w:pPr>
        <w:spacing w:line="276" w:lineRule="auto"/>
        <w:jc w:val="right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